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/>
        </w:rPr>
      </w:pPr>
    </w:p>
    <w:p>
      <w:pPr>
        <w:pStyle w:val="6"/>
        <w:rPr>
          <w:rFonts w:ascii="Times New Roman"/>
        </w:rPr>
      </w:pPr>
    </w:p>
    <w:p>
      <w:pPr>
        <w:pStyle w:val="6"/>
        <w:rPr>
          <w:rFonts w:ascii="Times New Roman"/>
        </w:rPr>
      </w:pPr>
    </w:p>
    <w:p>
      <w:pPr>
        <w:pStyle w:val="6"/>
        <w:spacing w:before="10"/>
        <w:rPr>
          <w:rFonts w:ascii="Times New Roman"/>
          <w:sz w:val="15"/>
        </w:rPr>
      </w:pPr>
    </w:p>
    <w:p>
      <w:pPr>
        <w:spacing w:before="91"/>
        <w:ind w:left="2698" w:right="2584" w:firstLine="0"/>
        <w:jc w:val="center"/>
        <w:rPr>
          <w:b/>
          <w:sz w:val="30"/>
        </w:rPr>
      </w:pPr>
      <w:r>
        <w:rPr>
          <w:b/>
          <w:color w:val="8DC53E"/>
          <w:sz w:val="30"/>
        </w:rPr>
        <w:t>KARTA GWARANCYJNA GROWATT</w:t>
      </w: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spacing w:before="5"/>
        <w:rPr>
          <w:b/>
          <w:sz w:val="23"/>
        </w:rPr>
      </w:pPr>
    </w:p>
    <w:tbl>
      <w:tblPr>
        <w:tblStyle w:val="5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6"/>
        <w:gridCol w:w="6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876" w:type="dxa"/>
          </w:tcPr>
          <w:p>
            <w:pPr>
              <w:pStyle w:val="9"/>
              <w:spacing w:before="0"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Klient końcowy</w:t>
            </w:r>
          </w:p>
        </w:tc>
        <w:tc>
          <w:tcPr>
            <w:tcW w:w="6379" w:type="dxa"/>
          </w:tcPr>
          <w:p>
            <w:pPr>
              <w:pStyle w:val="9"/>
              <w:spacing w:before="0" w:line="286" w:lineRule="exact"/>
              <w:ind w:left="1384"/>
              <w:rPr>
                <w:b/>
                <w:sz w:val="28"/>
              </w:rPr>
            </w:pPr>
            <w:r>
              <w:rPr>
                <w:b/>
                <w:sz w:val="28"/>
              </w:rPr>
              <w:t>Informacje o produkcie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876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Imię i nazwisko:</w:t>
            </w:r>
          </w:p>
        </w:tc>
        <w:tc>
          <w:tcPr>
            <w:tcW w:w="6379" w:type="dxa"/>
          </w:tcPr>
          <w:p>
            <w:pPr>
              <w:pStyle w:val="9"/>
              <w:ind w:left="1384"/>
              <w:rPr>
                <w:sz w:val="28"/>
              </w:rPr>
            </w:pPr>
            <w:r>
              <w:rPr>
                <w:sz w:val="28"/>
              </w:rPr>
              <w:t>Model: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876" w:type="dxa"/>
          </w:tcPr>
          <w:p>
            <w:pPr>
              <w:pStyle w:val="9"/>
              <w:rPr>
                <w:sz w:val="28"/>
              </w:rPr>
            </w:pPr>
            <w:r>
              <w:rPr>
                <w:sz w:val="28"/>
              </w:rPr>
              <w:t>Telefon kontaktowy:</w:t>
            </w:r>
          </w:p>
        </w:tc>
        <w:tc>
          <w:tcPr>
            <w:tcW w:w="6379" w:type="dxa"/>
          </w:tcPr>
          <w:p>
            <w:pPr>
              <w:pStyle w:val="9"/>
              <w:ind w:left="1384"/>
              <w:rPr>
                <w:sz w:val="28"/>
              </w:rPr>
            </w:pPr>
            <w:r>
              <w:rPr>
                <w:sz w:val="28"/>
              </w:rPr>
              <w:t>Numer seryjny: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876" w:type="dxa"/>
          </w:tcPr>
          <w:p>
            <w:pPr>
              <w:pStyle w:val="9"/>
              <w:spacing w:before="116"/>
              <w:rPr>
                <w:sz w:val="28"/>
              </w:rPr>
            </w:pPr>
            <w:r>
              <w:rPr>
                <w:sz w:val="28"/>
              </w:rPr>
              <w:t>Adres email:</w:t>
            </w:r>
          </w:p>
        </w:tc>
        <w:tc>
          <w:tcPr>
            <w:tcW w:w="6379" w:type="dxa"/>
          </w:tcPr>
          <w:p>
            <w:pPr>
              <w:pStyle w:val="9"/>
              <w:spacing w:before="116"/>
              <w:ind w:left="1384"/>
              <w:rPr>
                <w:sz w:val="28"/>
              </w:rPr>
            </w:pPr>
            <w:r>
              <w:rPr>
                <w:sz w:val="28"/>
              </w:rPr>
              <w:t>Data uruchomienia: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876" w:type="dxa"/>
          </w:tcPr>
          <w:p>
            <w:pPr>
              <w:pStyle w:val="9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Adres instalacji:</w:t>
            </w:r>
          </w:p>
        </w:tc>
        <w:tc>
          <w:tcPr>
            <w:tcW w:w="6379" w:type="dxa"/>
          </w:tcPr>
          <w:p>
            <w:pPr>
              <w:pStyle w:val="9"/>
              <w:spacing w:line="317" w:lineRule="exact"/>
              <w:ind w:left="1384"/>
              <w:rPr>
                <w:sz w:val="28"/>
              </w:rPr>
            </w:pPr>
            <w:r>
              <w:rPr>
                <w:sz w:val="28"/>
              </w:rPr>
              <w:t>Instalator (Nazwa firmy, pieczątka, podpis)</w:t>
            </w:r>
          </w:p>
        </w:tc>
      </w:tr>
    </w:tbl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rPr>
          <w:b/>
        </w:rPr>
      </w:pPr>
    </w:p>
    <w:p>
      <w:pPr>
        <w:pStyle w:val="6"/>
        <w:spacing w:before="1"/>
        <w:rPr>
          <w:b/>
          <w:sz w:val="22"/>
        </w:rPr>
      </w:pPr>
    </w:p>
    <w:p>
      <w:pPr>
        <w:pStyle w:val="3"/>
        <w:numPr>
          <w:ilvl w:val="0"/>
          <w:numId w:val="1"/>
        </w:numPr>
        <w:tabs>
          <w:tab w:val="left" w:pos="533"/>
        </w:tabs>
        <w:spacing w:before="93" w:after="0" w:line="240" w:lineRule="auto"/>
        <w:ind w:left="532" w:right="0" w:hanging="221"/>
        <w:jc w:val="left"/>
      </w:pPr>
      <w:r>
        <w:rPr>
          <w:color w:val="2F3E50"/>
        </w:rPr>
        <w:t>Okres podlegający</w:t>
      </w:r>
      <w:r>
        <w:rPr>
          <w:color w:val="2F3E50"/>
          <w:spacing w:val="-3"/>
        </w:rPr>
        <w:t xml:space="preserve"> </w:t>
      </w:r>
      <w:r>
        <w:rPr>
          <w:color w:val="2F3E50"/>
        </w:rPr>
        <w:t>gwarancji</w:t>
      </w:r>
    </w:p>
    <w:p>
      <w:pPr>
        <w:pStyle w:val="6"/>
        <w:rPr>
          <w:b/>
          <w:sz w:val="24"/>
        </w:rPr>
      </w:pPr>
    </w:p>
    <w:p>
      <w:pPr>
        <w:pStyle w:val="6"/>
        <w:spacing w:line="326" w:lineRule="auto"/>
        <w:ind w:left="312" w:right="175"/>
      </w:pPr>
      <w:r>
        <w:rPr>
          <w:color w:val="2F3E50"/>
        </w:rPr>
        <w:t>Dla inwerterów zakupionych w firmie Growatt, otrzymują Państwo standardową pięcioletnią gwarancję dla modeli sieciowych od</w:t>
      </w:r>
      <w:bookmarkStart w:id="0" w:name="_GoBack"/>
      <w:r>
        <w:rPr>
          <w:color w:val="2F3E50"/>
        </w:rPr>
        <w:t xml:space="preserve"> 22 kW do 250 kW</w:t>
      </w:r>
      <w:r>
        <w:rPr>
          <w:rFonts w:hint="default"/>
          <w:color w:val="2F3E50"/>
          <w:lang w:val="pl-PL"/>
        </w:rPr>
        <w:t xml:space="preserve"> </w:t>
      </w:r>
      <w:bookmarkEnd w:id="0"/>
      <w:r>
        <w:rPr>
          <w:color w:val="2F3E50"/>
        </w:rPr>
        <w:t>obowiązującą od momentu zakupu inwertera. Istnieje możliwość przedłużenia gwarancji o dodatkowe lata, w takim przypadku prosimy o kontakt ze sprzedawcą. W razie wymiany inwertera okres gwarancyjny nie jest ponownie naliczany od momentu wydania modelu reklamacyjnego.</w:t>
      </w:r>
    </w:p>
    <w:p>
      <w:pPr>
        <w:pStyle w:val="3"/>
        <w:numPr>
          <w:ilvl w:val="0"/>
          <w:numId w:val="1"/>
        </w:numPr>
        <w:tabs>
          <w:tab w:val="left" w:pos="533"/>
        </w:tabs>
        <w:spacing w:before="191" w:after="0" w:line="240" w:lineRule="auto"/>
        <w:ind w:left="532" w:right="0" w:hanging="221"/>
        <w:jc w:val="left"/>
      </w:pPr>
      <w:r>
        <w:rPr>
          <w:color w:val="2F3E50"/>
        </w:rPr>
        <w:t>Usterki niepodlegające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gwarancji</w:t>
      </w:r>
    </w:p>
    <w:p>
      <w:pPr>
        <w:pStyle w:val="6"/>
        <w:spacing w:before="3"/>
        <w:rPr>
          <w:b/>
          <w:sz w:val="24"/>
        </w:rPr>
      </w:pPr>
    </w:p>
    <w:p>
      <w:pPr>
        <w:pStyle w:val="6"/>
        <w:spacing w:line="326" w:lineRule="auto"/>
        <w:ind w:left="312" w:right="364"/>
      </w:pPr>
      <w:r>
        <w:rPr>
          <w:color w:val="2F3E50"/>
        </w:rPr>
        <w:t>W ciągu całego okresu gwarancyjnego, konsument ma prawo do wymiany produkty na nowy w przypadku jego trwałego uszkodzenia.</w:t>
      </w:r>
    </w:p>
    <w:p>
      <w:pPr>
        <w:pStyle w:val="6"/>
        <w:spacing w:before="193" w:line="326" w:lineRule="auto"/>
        <w:ind w:left="312" w:right="175"/>
      </w:pPr>
      <w:r>
        <w:rPr>
          <w:color w:val="2F3E50"/>
        </w:rPr>
        <w:t>Growatt jednak nie ponosi odpowiedzialności gwarancyjnej za jakiekolwiek inne szkody lub straty, takie jak transport, koszt instalacji, usługi inżynierskie, stratę wynikłą z powodu przerwy w działaniu itp.</w:t>
      </w:r>
    </w:p>
    <w:p>
      <w:pPr>
        <w:spacing w:after="0" w:line="326" w:lineRule="auto"/>
        <w:sectPr>
          <w:headerReference r:id="rId5" w:type="default"/>
          <w:footerReference r:id="rId6" w:type="default"/>
          <w:type w:val="continuous"/>
          <w:pgSz w:w="11910" w:h="16840"/>
          <w:pgMar w:top="1660" w:right="880" w:bottom="1940" w:left="540" w:header="852" w:footer="1749" w:gutter="0"/>
          <w:cols w:space="720" w:num="1"/>
        </w:sectPr>
      </w:pPr>
    </w:p>
    <w:p>
      <w:pPr>
        <w:pStyle w:val="6"/>
        <w:spacing w:before="8"/>
        <w:rPr>
          <w:sz w:val="12"/>
        </w:rPr>
      </w:pPr>
    </w:p>
    <w:p>
      <w:pPr>
        <w:pStyle w:val="6"/>
        <w:spacing w:before="93" w:line="326" w:lineRule="auto"/>
        <w:ind w:left="312" w:right="317"/>
      </w:pPr>
      <w:r>
        <w:rPr>
          <w:color w:val="2F3E50"/>
        </w:rPr>
        <w:t>Klienci mają prawo do skorzystania z usług naprawy lub wymiany produkty w przypadku gdy towar jest nie odpowiedniej jakości oraz awaria nie została uwzględniona w "poważnych usterkach" (patrz poniżej - "poważne usterki")</w:t>
      </w:r>
    </w:p>
    <w:p>
      <w:pPr>
        <w:pStyle w:val="3"/>
        <w:spacing w:before="192"/>
        <w:ind w:firstLine="0"/>
      </w:pPr>
      <w:r>
        <w:rPr>
          <w:color w:val="2F3E50"/>
        </w:rPr>
        <w:t>Usterki nie podlegające gwarancji występują gdy:</w:t>
      </w:r>
    </w:p>
    <w:p>
      <w:pPr>
        <w:pStyle w:val="6"/>
        <w:rPr>
          <w:b/>
          <w:sz w:val="24"/>
        </w:rPr>
      </w:pPr>
    </w:p>
    <w:p>
      <w:pPr>
        <w:pStyle w:val="8"/>
        <w:numPr>
          <w:ilvl w:val="0"/>
          <w:numId w:val="2"/>
        </w:numPr>
        <w:tabs>
          <w:tab w:val="left" w:pos="545"/>
        </w:tabs>
        <w:spacing w:before="0" w:after="0" w:line="326" w:lineRule="auto"/>
        <w:ind w:left="312" w:right="986" w:firstLine="0"/>
        <w:jc w:val="left"/>
        <w:rPr>
          <w:sz w:val="20"/>
        </w:rPr>
      </w:pPr>
      <w:r>
        <w:rPr>
          <w:color w:val="2F3E50"/>
          <w:sz w:val="20"/>
        </w:rPr>
        <w:t>Produkt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został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nabyty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przez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klienta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nieposiadającego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odpowiednich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kwalifikacji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do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jego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montażu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oraz niezaznajomionego z charakterem i zakresem potencjalnych awarii;</w:t>
      </w:r>
      <w:r>
        <w:rPr>
          <w:color w:val="2F3E50"/>
          <w:spacing w:val="-8"/>
          <w:sz w:val="20"/>
        </w:rPr>
        <w:t xml:space="preserve"> </w:t>
      </w:r>
      <w:r>
        <w:rPr>
          <w:color w:val="2F3E50"/>
          <w:sz w:val="20"/>
        </w:rPr>
        <w:t>lub</w:t>
      </w:r>
    </w:p>
    <w:p>
      <w:pPr>
        <w:pStyle w:val="8"/>
        <w:numPr>
          <w:ilvl w:val="0"/>
          <w:numId w:val="2"/>
        </w:numPr>
        <w:tabs>
          <w:tab w:val="left" w:pos="545"/>
        </w:tabs>
        <w:spacing w:before="193" w:after="0" w:line="240" w:lineRule="auto"/>
        <w:ind w:left="544" w:right="0" w:hanging="233"/>
        <w:jc w:val="left"/>
        <w:rPr>
          <w:sz w:val="20"/>
        </w:rPr>
      </w:pPr>
      <w:r>
        <w:rPr>
          <w:color w:val="2F3E50"/>
          <w:sz w:val="20"/>
        </w:rPr>
        <w:t>Produkt w znaczący sposób odbiega od opisu producenta;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lub</w:t>
      </w:r>
    </w:p>
    <w:p>
      <w:pPr>
        <w:pStyle w:val="6"/>
        <w:spacing w:before="3"/>
        <w:rPr>
          <w:sz w:val="24"/>
        </w:rPr>
      </w:pPr>
    </w:p>
    <w:p>
      <w:pPr>
        <w:pStyle w:val="8"/>
        <w:numPr>
          <w:ilvl w:val="0"/>
          <w:numId w:val="2"/>
        </w:numPr>
        <w:tabs>
          <w:tab w:val="left" w:pos="535"/>
        </w:tabs>
        <w:spacing w:before="0" w:after="0" w:line="326" w:lineRule="auto"/>
        <w:ind w:left="312" w:right="316" w:firstLine="0"/>
        <w:jc w:val="left"/>
        <w:rPr>
          <w:sz w:val="20"/>
        </w:rPr>
      </w:pPr>
      <w:r>
        <w:rPr>
          <w:color w:val="2F3E50"/>
          <w:sz w:val="20"/>
        </w:rPr>
        <w:t>Produkt</w:t>
      </w:r>
      <w:r>
        <w:rPr>
          <w:color w:val="2F3E50"/>
          <w:spacing w:val="-5"/>
          <w:sz w:val="20"/>
        </w:rPr>
        <w:t xml:space="preserve"> </w:t>
      </w:r>
      <w:r>
        <w:rPr>
          <w:color w:val="2F3E50"/>
          <w:sz w:val="20"/>
        </w:rPr>
        <w:t>zasadniczo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nie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nadaj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się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do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celów, dla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których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produkty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tego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samego typu</w:t>
      </w:r>
      <w:r>
        <w:rPr>
          <w:color w:val="2F3E50"/>
          <w:spacing w:val="-6"/>
          <w:sz w:val="20"/>
        </w:rPr>
        <w:t xml:space="preserve"> </w:t>
      </w:r>
      <w:r>
        <w:rPr>
          <w:color w:val="2F3E50"/>
          <w:sz w:val="20"/>
        </w:rPr>
        <w:t>są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przeznaczone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i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nie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ma możliwości w łatwy sposób oraz w rozsądnym czasie naprawy produktu by nadawał się do użytku;</w:t>
      </w:r>
      <w:r>
        <w:rPr>
          <w:color w:val="2F3E50"/>
          <w:spacing w:val="-32"/>
          <w:sz w:val="20"/>
        </w:rPr>
        <w:t xml:space="preserve"> </w:t>
      </w:r>
      <w:r>
        <w:rPr>
          <w:color w:val="2F3E50"/>
          <w:sz w:val="20"/>
        </w:rPr>
        <w:t>lub</w:t>
      </w:r>
    </w:p>
    <w:p>
      <w:pPr>
        <w:pStyle w:val="8"/>
        <w:numPr>
          <w:ilvl w:val="0"/>
          <w:numId w:val="2"/>
        </w:numPr>
        <w:tabs>
          <w:tab w:val="left" w:pos="545"/>
        </w:tabs>
        <w:spacing w:before="193" w:after="0" w:line="326" w:lineRule="auto"/>
        <w:ind w:left="312" w:right="481" w:firstLine="0"/>
        <w:jc w:val="left"/>
        <w:rPr>
          <w:sz w:val="20"/>
        </w:rPr>
      </w:pPr>
      <w:r>
        <w:rPr>
          <w:color w:val="2F3E50"/>
          <w:sz w:val="20"/>
        </w:rPr>
        <w:t>Produkt jest nieodpowiedni do określonego przeznaczenia, którego jest świadom Growatt lub osoba dokonująca negocjacji przed zakupem i nie ma możliwości w łatwy sposób oraz w rozsądnym czasie naprawy produktu by nadawał się do użytku;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lub</w:t>
      </w:r>
    </w:p>
    <w:p>
      <w:pPr>
        <w:pStyle w:val="8"/>
        <w:numPr>
          <w:ilvl w:val="0"/>
          <w:numId w:val="2"/>
        </w:numPr>
        <w:tabs>
          <w:tab w:val="left" w:pos="545"/>
        </w:tabs>
        <w:spacing w:before="192" w:after="0" w:line="240" w:lineRule="auto"/>
        <w:ind w:left="544" w:right="0" w:hanging="233"/>
        <w:jc w:val="left"/>
        <w:rPr>
          <w:sz w:val="20"/>
        </w:rPr>
      </w:pPr>
      <w:r>
        <w:rPr>
          <w:color w:val="2F3E50"/>
          <w:sz w:val="20"/>
        </w:rPr>
        <w:t>Produkt został zakwalifikowany jako niebezpieczny z powodu niewystarczającej</w:t>
      </w:r>
      <w:r>
        <w:rPr>
          <w:color w:val="2F3E50"/>
          <w:spacing w:val="-13"/>
          <w:sz w:val="20"/>
        </w:rPr>
        <w:t xml:space="preserve"> </w:t>
      </w:r>
      <w:r>
        <w:rPr>
          <w:color w:val="2F3E50"/>
          <w:sz w:val="20"/>
        </w:rPr>
        <w:t>jakości.</w:t>
      </w:r>
    </w:p>
    <w:p>
      <w:pPr>
        <w:pStyle w:val="6"/>
        <w:spacing w:before="1"/>
        <w:rPr>
          <w:sz w:val="24"/>
        </w:rPr>
      </w:pPr>
    </w:p>
    <w:p>
      <w:pPr>
        <w:pStyle w:val="3"/>
        <w:numPr>
          <w:ilvl w:val="0"/>
          <w:numId w:val="1"/>
        </w:numPr>
        <w:tabs>
          <w:tab w:val="left" w:pos="646"/>
        </w:tabs>
        <w:spacing w:before="0" w:after="0" w:line="240" w:lineRule="auto"/>
        <w:ind w:left="645" w:right="0" w:hanging="334"/>
        <w:jc w:val="left"/>
      </w:pPr>
      <w:r>
        <w:rPr>
          <w:color w:val="2F3E50"/>
        </w:rPr>
        <w:t>Warunki</w:t>
      </w:r>
      <w:r>
        <w:rPr>
          <w:color w:val="2F3E50"/>
          <w:spacing w:val="-2"/>
        </w:rPr>
        <w:t xml:space="preserve"> </w:t>
      </w:r>
      <w:r>
        <w:rPr>
          <w:color w:val="2F3E50"/>
        </w:rPr>
        <w:t>gwarancji</w:t>
      </w:r>
    </w:p>
    <w:p>
      <w:pPr>
        <w:pStyle w:val="6"/>
        <w:spacing w:before="3"/>
        <w:rPr>
          <w:b/>
          <w:sz w:val="24"/>
        </w:rPr>
      </w:pPr>
    </w:p>
    <w:p>
      <w:pPr>
        <w:pStyle w:val="6"/>
        <w:spacing w:line="326" w:lineRule="auto"/>
        <w:ind w:left="312" w:right="1120"/>
      </w:pPr>
      <w:r>
        <w:rPr>
          <w:color w:val="2F3E50"/>
        </w:rPr>
        <w:t>Niniejsza gwarancja obejmuje wszelkie wady projektowe, wady komponentów oraz wady produkcyjne. Wyłączone z gwarancji są szkody spowodowane:</w:t>
      </w:r>
    </w:p>
    <w:p>
      <w:pPr>
        <w:pStyle w:val="8"/>
        <w:numPr>
          <w:ilvl w:val="0"/>
          <w:numId w:val="3"/>
        </w:numPr>
        <w:tabs>
          <w:tab w:val="left" w:pos="435"/>
        </w:tabs>
        <w:spacing w:before="193" w:after="0" w:line="240" w:lineRule="auto"/>
        <w:ind w:left="434" w:right="0" w:hanging="123"/>
        <w:jc w:val="left"/>
        <w:rPr>
          <w:sz w:val="20"/>
        </w:rPr>
      </w:pPr>
      <w:r>
        <w:rPr>
          <w:color w:val="2F3E50"/>
          <w:sz w:val="20"/>
        </w:rPr>
        <w:t>Zerwania plomby produktu (otwarcie obudowy) bez autoryzacji</w:t>
      </w:r>
      <w:r>
        <w:rPr>
          <w:color w:val="2F3E50"/>
          <w:spacing w:val="-7"/>
          <w:sz w:val="20"/>
        </w:rPr>
        <w:t xml:space="preserve"> </w:t>
      </w:r>
      <w:r>
        <w:rPr>
          <w:color w:val="2F3E50"/>
          <w:sz w:val="20"/>
        </w:rPr>
        <w:t>serwisu,</w:t>
      </w:r>
    </w:p>
    <w:p>
      <w:pPr>
        <w:pStyle w:val="6"/>
        <w:rPr>
          <w:sz w:val="24"/>
        </w:rPr>
      </w:pPr>
    </w:p>
    <w:p>
      <w:pPr>
        <w:pStyle w:val="8"/>
        <w:numPr>
          <w:ilvl w:val="0"/>
          <w:numId w:val="3"/>
        </w:numPr>
        <w:tabs>
          <w:tab w:val="left" w:pos="435"/>
        </w:tabs>
        <w:spacing w:before="0" w:after="0" w:line="240" w:lineRule="auto"/>
        <w:ind w:left="434" w:right="0" w:hanging="123"/>
        <w:jc w:val="left"/>
        <w:rPr>
          <w:sz w:val="20"/>
        </w:rPr>
      </w:pPr>
      <w:r>
        <w:rPr>
          <w:color w:val="2F3E50"/>
          <w:sz w:val="20"/>
        </w:rPr>
        <w:t>Uszkodzenia</w:t>
      </w:r>
      <w:r>
        <w:rPr>
          <w:color w:val="2F3E50"/>
          <w:spacing w:val="-2"/>
          <w:sz w:val="20"/>
        </w:rPr>
        <w:t xml:space="preserve"> </w:t>
      </w:r>
      <w:r>
        <w:rPr>
          <w:color w:val="2F3E50"/>
          <w:sz w:val="20"/>
        </w:rPr>
        <w:t>transportowe,</w:t>
      </w:r>
    </w:p>
    <w:p>
      <w:pPr>
        <w:pStyle w:val="6"/>
        <w:spacing w:before="1"/>
        <w:rPr>
          <w:sz w:val="24"/>
        </w:rPr>
      </w:pPr>
    </w:p>
    <w:p>
      <w:pPr>
        <w:pStyle w:val="8"/>
        <w:numPr>
          <w:ilvl w:val="0"/>
          <w:numId w:val="3"/>
        </w:numPr>
        <w:tabs>
          <w:tab w:val="left" w:pos="435"/>
        </w:tabs>
        <w:spacing w:before="0" w:after="0" w:line="240" w:lineRule="auto"/>
        <w:ind w:left="434" w:right="0" w:hanging="123"/>
        <w:jc w:val="left"/>
        <w:rPr>
          <w:sz w:val="20"/>
        </w:rPr>
      </w:pPr>
      <w:r>
        <w:rPr>
          <w:color w:val="2F3E50"/>
          <w:sz w:val="20"/>
        </w:rPr>
        <w:t>Nieprawidłowa instalacja lub</w:t>
      </w:r>
      <w:r>
        <w:rPr>
          <w:color w:val="2F3E50"/>
          <w:spacing w:val="1"/>
          <w:sz w:val="20"/>
        </w:rPr>
        <w:t xml:space="preserve"> </w:t>
      </w:r>
      <w:r>
        <w:rPr>
          <w:color w:val="2F3E50"/>
          <w:sz w:val="20"/>
        </w:rPr>
        <w:t>uruchomienie,</w:t>
      </w:r>
    </w:p>
    <w:p>
      <w:pPr>
        <w:pStyle w:val="6"/>
        <w:spacing w:before="3"/>
        <w:rPr>
          <w:sz w:val="24"/>
        </w:rPr>
      </w:pPr>
    </w:p>
    <w:p>
      <w:pPr>
        <w:pStyle w:val="8"/>
        <w:numPr>
          <w:ilvl w:val="0"/>
          <w:numId w:val="3"/>
        </w:numPr>
        <w:tabs>
          <w:tab w:val="left" w:pos="435"/>
        </w:tabs>
        <w:spacing w:before="0" w:after="0" w:line="240" w:lineRule="auto"/>
        <w:ind w:left="434" w:right="0" w:hanging="123"/>
        <w:jc w:val="left"/>
        <w:rPr>
          <w:sz w:val="20"/>
        </w:rPr>
      </w:pPr>
      <w:r>
        <w:rPr>
          <w:color w:val="2F3E50"/>
          <w:sz w:val="20"/>
        </w:rPr>
        <w:t>Niezastosowanie się do instrukcji obsługi, instrukcji montażu, konserwacji oraz obsługi</w:t>
      </w:r>
      <w:r>
        <w:rPr>
          <w:color w:val="2F3E50"/>
          <w:spacing w:val="-28"/>
          <w:sz w:val="20"/>
        </w:rPr>
        <w:t xml:space="preserve"> </w:t>
      </w:r>
      <w:r>
        <w:rPr>
          <w:color w:val="2F3E50"/>
          <w:sz w:val="20"/>
        </w:rPr>
        <w:t>eksploatacyjnej,</w:t>
      </w:r>
    </w:p>
    <w:p>
      <w:pPr>
        <w:pStyle w:val="6"/>
        <w:rPr>
          <w:sz w:val="24"/>
        </w:rPr>
      </w:pPr>
    </w:p>
    <w:p>
      <w:pPr>
        <w:pStyle w:val="8"/>
        <w:numPr>
          <w:ilvl w:val="0"/>
          <w:numId w:val="3"/>
        </w:numPr>
        <w:tabs>
          <w:tab w:val="left" w:pos="435"/>
        </w:tabs>
        <w:spacing w:before="0" w:after="0" w:line="240" w:lineRule="auto"/>
        <w:ind w:left="434" w:right="0" w:hanging="123"/>
        <w:jc w:val="left"/>
        <w:rPr>
          <w:sz w:val="20"/>
        </w:rPr>
      </w:pPr>
      <w:r>
        <w:rPr>
          <w:color w:val="2F3E50"/>
          <w:sz w:val="20"/>
        </w:rPr>
        <w:t>Nieautoryzowanych modyfikacji, zmiany lub</w:t>
      </w:r>
      <w:r>
        <w:rPr>
          <w:color w:val="2F3E50"/>
          <w:spacing w:val="2"/>
          <w:sz w:val="20"/>
        </w:rPr>
        <w:t xml:space="preserve"> </w:t>
      </w:r>
      <w:r>
        <w:rPr>
          <w:color w:val="2F3E50"/>
          <w:sz w:val="20"/>
        </w:rPr>
        <w:t>naprawy,</w:t>
      </w:r>
    </w:p>
    <w:p>
      <w:pPr>
        <w:pStyle w:val="6"/>
        <w:rPr>
          <w:sz w:val="24"/>
        </w:rPr>
      </w:pPr>
    </w:p>
    <w:p>
      <w:pPr>
        <w:pStyle w:val="8"/>
        <w:numPr>
          <w:ilvl w:val="0"/>
          <w:numId w:val="3"/>
        </w:numPr>
        <w:tabs>
          <w:tab w:val="left" w:pos="435"/>
        </w:tabs>
        <w:spacing w:before="1" w:after="0" w:line="240" w:lineRule="auto"/>
        <w:ind w:left="434" w:right="0" w:hanging="123"/>
        <w:jc w:val="left"/>
        <w:rPr>
          <w:sz w:val="20"/>
        </w:rPr>
      </w:pPr>
      <w:r>
        <w:rPr>
          <w:color w:val="2F3E50"/>
          <w:sz w:val="20"/>
        </w:rPr>
        <w:t>Niewłaściwe użytkowanie lub niewłaściwa</w:t>
      </w:r>
      <w:r>
        <w:rPr>
          <w:color w:val="2F3E50"/>
          <w:spacing w:val="1"/>
          <w:sz w:val="20"/>
        </w:rPr>
        <w:t xml:space="preserve"> </w:t>
      </w:r>
      <w:r>
        <w:rPr>
          <w:color w:val="2F3E50"/>
          <w:sz w:val="20"/>
        </w:rPr>
        <w:t>eksploatacja,</w:t>
      </w:r>
    </w:p>
    <w:p>
      <w:pPr>
        <w:pStyle w:val="6"/>
        <w:rPr>
          <w:sz w:val="24"/>
        </w:rPr>
      </w:pPr>
    </w:p>
    <w:p>
      <w:pPr>
        <w:pStyle w:val="8"/>
        <w:numPr>
          <w:ilvl w:val="0"/>
          <w:numId w:val="3"/>
        </w:numPr>
        <w:tabs>
          <w:tab w:val="left" w:pos="435"/>
        </w:tabs>
        <w:spacing w:before="0" w:after="0" w:line="240" w:lineRule="auto"/>
        <w:ind w:left="434" w:right="0" w:hanging="123"/>
        <w:jc w:val="left"/>
        <w:rPr>
          <w:sz w:val="20"/>
        </w:rPr>
      </w:pPr>
      <w:r>
        <w:rPr>
          <w:color w:val="2F3E50"/>
          <w:sz w:val="20"/>
        </w:rPr>
        <w:t>Niedostateczna wentylacja</w:t>
      </w:r>
      <w:r>
        <w:rPr>
          <w:color w:val="2F3E50"/>
          <w:spacing w:val="-1"/>
          <w:sz w:val="20"/>
        </w:rPr>
        <w:t xml:space="preserve"> </w:t>
      </w:r>
      <w:r>
        <w:rPr>
          <w:color w:val="2F3E50"/>
          <w:sz w:val="20"/>
        </w:rPr>
        <w:t>urządzenia,</w:t>
      </w:r>
    </w:p>
    <w:p>
      <w:pPr>
        <w:pStyle w:val="6"/>
        <w:spacing w:before="3"/>
        <w:rPr>
          <w:sz w:val="24"/>
        </w:rPr>
      </w:pPr>
    </w:p>
    <w:p>
      <w:pPr>
        <w:pStyle w:val="8"/>
        <w:numPr>
          <w:ilvl w:val="0"/>
          <w:numId w:val="3"/>
        </w:numPr>
        <w:tabs>
          <w:tab w:val="left" w:pos="435"/>
        </w:tabs>
        <w:spacing w:before="0" w:after="0" w:line="240" w:lineRule="auto"/>
        <w:ind w:left="434" w:right="0" w:hanging="123"/>
        <w:jc w:val="left"/>
        <w:rPr>
          <w:sz w:val="20"/>
        </w:rPr>
      </w:pPr>
      <w:r>
        <w:rPr>
          <w:color w:val="2F3E50"/>
          <w:sz w:val="20"/>
        </w:rPr>
        <w:t>Niezastosowanie się do obowiązujących przepisów</w:t>
      </w:r>
      <w:r>
        <w:rPr>
          <w:color w:val="2F3E50"/>
          <w:spacing w:val="-4"/>
          <w:sz w:val="20"/>
        </w:rPr>
        <w:t xml:space="preserve"> </w:t>
      </w:r>
      <w:r>
        <w:rPr>
          <w:color w:val="2F3E50"/>
          <w:sz w:val="20"/>
        </w:rPr>
        <w:t>bezpieczeństwa,</w:t>
      </w:r>
    </w:p>
    <w:p>
      <w:pPr>
        <w:pStyle w:val="6"/>
        <w:rPr>
          <w:sz w:val="24"/>
        </w:rPr>
      </w:pPr>
    </w:p>
    <w:p>
      <w:pPr>
        <w:pStyle w:val="8"/>
        <w:numPr>
          <w:ilvl w:val="0"/>
          <w:numId w:val="3"/>
        </w:numPr>
        <w:tabs>
          <w:tab w:val="left" w:pos="435"/>
        </w:tabs>
        <w:spacing w:before="0" w:after="0" w:line="240" w:lineRule="auto"/>
        <w:ind w:left="434" w:right="0" w:hanging="123"/>
        <w:jc w:val="left"/>
        <w:rPr>
          <w:sz w:val="20"/>
        </w:rPr>
      </w:pPr>
      <w:r>
        <w:rPr>
          <w:color w:val="2F3E50"/>
          <w:sz w:val="20"/>
        </w:rPr>
        <w:t>Siły wyższe (uderzenie pioruna, przepięcia, burza,</w:t>
      </w:r>
      <w:r>
        <w:rPr>
          <w:color w:val="2F3E50"/>
          <w:spacing w:val="-3"/>
          <w:sz w:val="20"/>
        </w:rPr>
        <w:t xml:space="preserve"> </w:t>
      </w:r>
      <w:r>
        <w:rPr>
          <w:color w:val="2F3E50"/>
          <w:sz w:val="20"/>
        </w:rPr>
        <w:t>pożar)</w:t>
      </w:r>
    </w:p>
    <w:p>
      <w:pPr>
        <w:pStyle w:val="6"/>
        <w:spacing w:before="7"/>
        <w:rPr>
          <w:sz w:val="31"/>
        </w:rPr>
      </w:pPr>
    </w:p>
    <w:p>
      <w:pPr>
        <w:pStyle w:val="6"/>
        <w:ind w:left="312"/>
      </w:pPr>
      <w:r>
        <w:rPr>
          <w:color w:val="2F3E50"/>
        </w:rPr>
        <w:t>Do zgłoszenia reklamacji wymagany jest certyfikat UDT/instalatora OZE lub certyfikat SEP.</w:t>
      </w:r>
    </w:p>
    <w:p>
      <w:pPr>
        <w:spacing w:after="0"/>
        <w:sectPr>
          <w:pgSz w:w="11910" w:h="16840"/>
          <w:pgMar w:top="1660" w:right="880" w:bottom="1940" w:left="540" w:header="852" w:footer="1749" w:gutter="0"/>
          <w:cols w:space="720" w:num="1"/>
        </w:sectPr>
      </w:pPr>
    </w:p>
    <w:p>
      <w:pPr>
        <w:pStyle w:val="6"/>
        <w:spacing w:before="7"/>
        <w:rPr>
          <w:sz w:val="14"/>
        </w:rPr>
      </w:pPr>
    </w:p>
    <w:p>
      <w:pPr>
        <w:pStyle w:val="2"/>
        <w:spacing w:before="58"/>
      </w:pPr>
      <w:r>
        <w:t>Growatt Polska gwarantuje wsparcie serwisowe w przypadku, gdy:</w:t>
      </w:r>
    </w:p>
    <w:p>
      <w:pPr>
        <w:pStyle w:val="8"/>
        <w:numPr>
          <w:ilvl w:val="0"/>
          <w:numId w:val="4"/>
        </w:numPr>
        <w:tabs>
          <w:tab w:val="left" w:pos="526"/>
        </w:tabs>
        <w:spacing w:before="56" w:after="0" w:line="240" w:lineRule="auto"/>
        <w:ind w:left="525" w:right="0" w:hanging="214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Zgłaszane inwertery oraz inne urządzenia marki </w:t>
      </w:r>
      <w:r>
        <w:rPr>
          <w:rFonts w:ascii="Calibri" w:hAnsi="Calibri"/>
          <w:spacing w:val="-3"/>
          <w:sz w:val="21"/>
        </w:rPr>
        <w:t xml:space="preserve">Growatt </w:t>
      </w:r>
      <w:r>
        <w:rPr>
          <w:rFonts w:ascii="Calibri" w:hAnsi="Calibri"/>
          <w:sz w:val="21"/>
        </w:rPr>
        <w:t>pochodzą z polskiej dystrybucji generalnego i</w:t>
      </w:r>
      <w:r>
        <w:rPr>
          <w:rFonts w:ascii="Calibri" w:hAnsi="Calibri"/>
          <w:spacing w:val="27"/>
          <w:sz w:val="21"/>
        </w:rPr>
        <w:t xml:space="preserve"> </w:t>
      </w:r>
      <w:r>
        <w:rPr>
          <w:rFonts w:ascii="Calibri" w:hAnsi="Calibri"/>
          <w:sz w:val="21"/>
        </w:rPr>
        <w:t>wyłącznego</w:t>
      </w:r>
    </w:p>
    <w:p>
      <w:pPr>
        <w:spacing w:before="56"/>
        <w:ind w:left="312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przedstawiciela Growatt – firmy MP Solar Group Sp. z o.o.</w:t>
      </w:r>
    </w:p>
    <w:p>
      <w:pPr>
        <w:pStyle w:val="8"/>
        <w:numPr>
          <w:ilvl w:val="0"/>
          <w:numId w:val="4"/>
        </w:numPr>
        <w:tabs>
          <w:tab w:val="left" w:pos="576"/>
        </w:tabs>
        <w:spacing w:before="55" w:after="0" w:line="292" w:lineRule="auto"/>
        <w:ind w:left="312" w:right="193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pacing w:val="-3"/>
          <w:sz w:val="21"/>
        </w:rPr>
        <w:t xml:space="preserve">Wszystkie </w:t>
      </w:r>
      <w:r>
        <w:rPr>
          <w:rFonts w:ascii="Calibri" w:hAnsi="Calibri"/>
          <w:sz w:val="21"/>
        </w:rPr>
        <w:t xml:space="preserve">zgłoszenia serwisowe obsługiwane są wyłącznie drogą mailową. </w:t>
      </w:r>
      <w:r>
        <w:rPr>
          <w:rFonts w:ascii="Calibri" w:hAnsi="Calibri"/>
          <w:spacing w:val="-3"/>
          <w:sz w:val="21"/>
        </w:rPr>
        <w:t xml:space="preserve">Wymagane </w:t>
      </w:r>
      <w:r>
        <w:rPr>
          <w:rFonts w:ascii="Calibri" w:hAnsi="Calibri"/>
          <w:sz w:val="21"/>
        </w:rPr>
        <w:t>jest również podanie numeru seryjnego zgłaszanego</w:t>
      </w:r>
      <w:r>
        <w:rPr>
          <w:rFonts w:ascii="Calibri" w:hAnsi="Calibri"/>
          <w:spacing w:val="-3"/>
          <w:sz w:val="21"/>
        </w:rPr>
        <w:t xml:space="preserve"> </w:t>
      </w:r>
      <w:r>
        <w:rPr>
          <w:rFonts w:ascii="Calibri" w:hAnsi="Calibri"/>
          <w:sz w:val="21"/>
        </w:rPr>
        <w:t>urządzenia.</w:t>
      </w:r>
    </w:p>
    <w:p>
      <w:pPr>
        <w:pStyle w:val="6"/>
        <w:spacing w:before="5"/>
        <w:rPr>
          <w:rFonts w:ascii="Calibri"/>
          <w:sz w:val="25"/>
        </w:rPr>
      </w:pPr>
    </w:p>
    <w:p>
      <w:pPr>
        <w:pStyle w:val="8"/>
        <w:numPr>
          <w:ilvl w:val="0"/>
          <w:numId w:val="4"/>
        </w:numPr>
        <w:tabs>
          <w:tab w:val="left" w:pos="629"/>
        </w:tabs>
        <w:spacing w:before="1" w:after="0" w:line="292" w:lineRule="auto"/>
        <w:ind w:left="312" w:right="192" w:firstLine="0"/>
        <w:jc w:val="both"/>
        <w:rPr>
          <w:rFonts w:ascii="Calibri" w:hAnsi="Calibri"/>
          <w:sz w:val="21"/>
        </w:rPr>
      </w:pPr>
      <w:r>
        <w:rPr>
          <w:rFonts w:ascii="Calibri" w:hAnsi="Calibri"/>
          <w:spacing w:val="-3"/>
          <w:sz w:val="21"/>
        </w:rPr>
        <w:t xml:space="preserve">Wszystkie </w:t>
      </w:r>
      <w:r>
        <w:rPr>
          <w:rFonts w:ascii="Calibri" w:hAnsi="Calibri"/>
          <w:sz w:val="21"/>
        </w:rPr>
        <w:t xml:space="preserve">inwertery pochodzące z polskiej dystrybucji sprzedawane są w zestawienie z urządzeniem monitorującym WiFi/LAN/GPRS. W związku z tym obowiązkiem instalatora jest montaż i uruchomienie monitoringu i klienta </w:t>
      </w:r>
      <w:r>
        <w:rPr>
          <w:rFonts w:ascii="Calibri" w:hAnsi="Calibri"/>
          <w:spacing w:val="-3"/>
          <w:sz w:val="21"/>
        </w:rPr>
        <w:t xml:space="preserve">końcowego, </w:t>
      </w:r>
      <w:r>
        <w:rPr>
          <w:rFonts w:ascii="Calibri" w:hAnsi="Calibri"/>
          <w:sz w:val="21"/>
        </w:rPr>
        <w:t xml:space="preserve">aby </w:t>
      </w:r>
      <w:r>
        <w:rPr>
          <w:rFonts w:ascii="Calibri" w:hAnsi="Calibri"/>
          <w:spacing w:val="-3"/>
          <w:sz w:val="21"/>
        </w:rPr>
        <w:t xml:space="preserve">pozwolić </w:t>
      </w:r>
      <w:r>
        <w:rPr>
          <w:rFonts w:ascii="Calibri" w:hAnsi="Calibri"/>
          <w:sz w:val="21"/>
        </w:rPr>
        <w:t xml:space="preserve">serwisantom </w:t>
      </w:r>
      <w:r>
        <w:rPr>
          <w:rFonts w:ascii="Calibri" w:hAnsi="Calibri"/>
          <w:spacing w:val="-3"/>
          <w:sz w:val="21"/>
        </w:rPr>
        <w:t xml:space="preserve">Growatt </w:t>
      </w:r>
      <w:r>
        <w:rPr>
          <w:rFonts w:ascii="Calibri" w:hAnsi="Calibri"/>
          <w:sz w:val="21"/>
        </w:rPr>
        <w:t>Polska na sprawną obsługę</w:t>
      </w:r>
      <w:r>
        <w:rPr>
          <w:rFonts w:ascii="Calibri" w:hAnsi="Calibri"/>
          <w:spacing w:val="-4"/>
          <w:sz w:val="21"/>
        </w:rPr>
        <w:t xml:space="preserve"> </w:t>
      </w:r>
      <w:r>
        <w:rPr>
          <w:rFonts w:ascii="Calibri" w:hAnsi="Calibri"/>
          <w:sz w:val="21"/>
        </w:rPr>
        <w:t>zdalną.</w:t>
      </w:r>
    </w:p>
    <w:p>
      <w:pPr>
        <w:pStyle w:val="6"/>
        <w:spacing w:before="4"/>
        <w:rPr>
          <w:rFonts w:ascii="Calibri"/>
          <w:sz w:val="25"/>
        </w:rPr>
      </w:pPr>
    </w:p>
    <w:p>
      <w:pPr>
        <w:pStyle w:val="8"/>
        <w:numPr>
          <w:ilvl w:val="0"/>
          <w:numId w:val="4"/>
        </w:numPr>
        <w:tabs>
          <w:tab w:val="left" w:pos="569"/>
        </w:tabs>
        <w:spacing w:before="0" w:after="0" w:line="292" w:lineRule="auto"/>
        <w:ind w:left="312" w:right="19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 xml:space="preserve">W przypadku, gdy falownik nie posiada </w:t>
      </w:r>
      <w:r>
        <w:rPr>
          <w:rFonts w:ascii="Calibri" w:hAnsi="Calibri"/>
          <w:spacing w:val="-3"/>
          <w:sz w:val="21"/>
        </w:rPr>
        <w:t xml:space="preserve">skonfigurowanego </w:t>
      </w:r>
      <w:r>
        <w:rPr>
          <w:rFonts w:ascii="Calibri" w:hAnsi="Calibri"/>
          <w:sz w:val="21"/>
        </w:rPr>
        <w:t xml:space="preserve">monitoringu, klient zobowiązany jest do wysłania zgłoszenia reklamacyjnego </w:t>
      </w:r>
      <w:r>
        <w:rPr>
          <w:rFonts w:ascii="Calibri" w:hAnsi="Calibri"/>
          <w:spacing w:val="-3"/>
          <w:sz w:val="21"/>
        </w:rPr>
        <w:t xml:space="preserve">poprzez </w:t>
      </w:r>
      <w:r>
        <w:rPr>
          <w:rFonts w:ascii="Calibri" w:hAnsi="Calibri"/>
          <w:sz w:val="21"/>
        </w:rPr>
        <w:t>formularz, który znajduje się na</w:t>
      </w:r>
      <w:r>
        <w:rPr>
          <w:rFonts w:ascii="Calibri" w:hAnsi="Calibri"/>
          <w:spacing w:val="-7"/>
          <w:sz w:val="21"/>
        </w:rPr>
        <w:t xml:space="preserve"> </w:t>
      </w:r>
      <w:r>
        <w:rPr>
          <w:rFonts w:ascii="Calibri" w:hAnsi="Calibri"/>
          <w:sz w:val="21"/>
        </w:rPr>
        <w:t>stronie:</w:t>
      </w:r>
    </w:p>
    <w:p>
      <w:pPr>
        <w:spacing w:before="0" w:line="255" w:lineRule="exact"/>
        <w:ind w:left="312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https://growatt-warranty-claim-webform.web.app/#/</w:t>
      </w:r>
    </w:p>
    <w:p>
      <w:pPr>
        <w:pStyle w:val="6"/>
        <w:rPr>
          <w:rFonts w:ascii="Calibri"/>
        </w:rPr>
      </w:pPr>
    </w:p>
    <w:p>
      <w:pPr>
        <w:pStyle w:val="6"/>
        <w:rPr>
          <w:rFonts w:ascii="Calibri"/>
        </w:rPr>
      </w:pPr>
    </w:p>
    <w:p>
      <w:pPr>
        <w:pStyle w:val="6"/>
        <w:spacing w:before="7"/>
        <w:rPr>
          <w:rFonts w:ascii="Calibri"/>
          <w:sz w:val="22"/>
        </w:rPr>
      </w:pPr>
    </w:p>
    <w:p>
      <w:pPr>
        <w:spacing w:before="0"/>
        <w:ind w:left="312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Szczegółowy opis dotyczący warunków gwarancji znajdują się na stronie internetowej </w:t>
      </w:r>
      <w:r>
        <w:fldChar w:fldCharType="begin"/>
      </w:r>
      <w:r>
        <w:instrText xml:space="preserve"> HYPERLINK "http://growatt.pl/do-pobrania" \h </w:instrText>
      </w:r>
      <w:r>
        <w:fldChar w:fldCharType="separate"/>
      </w:r>
      <w:r>
        <w:rPr>
          <w:rFonts w:ascii="Calibri" w:hAnsi="Calibri"/>
          <w:b/>
          <w:sz w:val="20"/>
        </w:rPr>
        <w:t>http://growatt.pl/do-pobrania</w:t>
      </w:r>
      <w:r>
        <w:rPr>
          <w:rFonts w:ascii="Calibri" w:hAnsi="Calibri"/>
          <w:b/>
          <w:sz w:val="20"/>
        </w:rPr>
        <w:fldChar w:fldCharType="end"/>
      </w:r>
    </w:p>
    <w:sectPr>
      <w:pgSz w:w="11910" w:h="16840"/>
      <w:pgMar w:top="1660" w:right="880" w:bottom="1940" w:left="540" w:header="852" w:footer="17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</w:pPr>
    <w:r>
      <w:pict>
        <v:line id="_x0000_s2050" o:spid="_x0000_s2050" o:spt="20" style="position:absolute;left:0pt;margin-left:41.15pt;margin-top:791.95pt;height:0pt;width:501.8pt;mso-position-horizontal-relative:page;mso-position-vertical-relative:page;z-index:-251655168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  <w:r>
      <w:pict>
        <v:shape id="_x0000_s2051" o:spid="_x0000_s2051" o:spt="202" type="#_x0000_t202" style="position:absolute;left:0pt;margin-left:41.55pt;margin-top:743.45pt;height:43.15pt;width:104.7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GROWATT POLSKA</w:t>
                </w:r>
              </w:p>
              <w:p>
                <w:pPr>
                  <w:spacing w:before="2" w:line="207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Biuro:</w:t>
                </w:r>
              </w:p>
              <w:p>
                <w:pPr>
                  <w:spacing w:before="0"/>
                  <w:ind w:left="20" w:right="3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ul. Kłodnicka 56E, 41-706 Ruda Śląska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162.1pt;margin-top:753.9pt;height:32.7pt;width:104.7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 w:line="207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Magazyn:</w:t>
                </w:r>
              </w:p>
              <w:p>
                <w:pPr>
                  <w:spacing w:before="0"/>
                  <w:ind w:left="20" w:right="3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ul. Kłodnicka 56E, 41-803 Zabrze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82.6pt;margin-top:753.9pt;height:12.1pt;width:89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>Tel: +48 32 729 99 18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388.95pt;margin-top:753.9pt;height:22.4pt;width:91.2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F5F5F"/>
                    <w:sz w:val="18"/>
                  </w:rPr>
                  <w:t xml:space="preserve">email: </w:t>
                </w:r>
                <w:r>
                  <w:fldChar w:fldCharType="begin"/>
                </w:r>
                <w:r>
                  <w:instrText xml:space="preserve"> HYPERLINK "mailto:info@growatt.pl" \h </w:instrText>
                </w:r>
                <w:r>
                  <w:fldChar w:fldCharType="separate"/>
                </w:r>
                <w:r>
                  <w:rPr>
                    <w:color w:val="5F5F5F"/>
                    <w:sz w:val="18"/>
                  </w:rPr>
                  <w:t>info@growatt.pl</w:t>
                </w:r>
                <w:r>
                  <w:rPr>
                    <w:color w:val="5F5F5F"/>
                    <w:sz w:val="18"/>
                  </w:rPr>
                  <w:fldChar w:fldCharType="end"/>
                </w:r>
                <w:r>
                  <w:rPr>
                    <w:color w:val="5F5F5F"/>
                    <w:sz w:val="18"/>
                  </w:rPr>
                  <w:t xml:space="preserve"> www: </w:t>
                </w:r>
                <w:r>
                  <w:fldChar w:fldCharType="begin"/>
                </w:r>
                <w:r>
                  <w:instrText xml:space="preserve"> HYPERLINK "http://www.growatt.pl/" \h </w:instrText>
                </w:r>
                <w:r>
                  <w:fldChar w:fldCharType="separate"/>
                </w:r>
                <w:r>
                  <w:rPr>
                    <w:color w:val="5F5F5F"/>
                    <w:sz w:val="18"/>
                  </w:rPr>
                  <w:t>www.growatt.pl</w:t>
                </w:r>
                <w:r>
                  <w:rPr>
                    <w:color w:val="5F5F5F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720850" cy="4146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0850" cy="414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49" o:spid="_x0000_s2049" o:spt="20" style="position:absolute;left:0pt;margin-left:41.15pt;margin-top:76.55pt;height:0pt;width:501.8pt;mso-position-horizontal-relative:page;mso-position-vertical-relative:page;z-index:-251656192;mso-width-relative:page;mso-height-relative:page;" stroked="t" coordsize="21600,21600">
          <v:path arrowok="t"/>
          <v:fill focussize="0,0"/>
          <v:stroke weight="0.72pt" color="#000000"/>
          <v:imagedata o:title=""/>
          <o:lock v:ext="edi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525" w:hanging="214"/>
        <w:jc w:val="left"/>
      </w:pPr>
      <w:rPr>
        <w:rFonts w:hint="default" w:ascii="Calibri" w:hAnsi="Calibri" w:eastAsia="Calibri" w:cs="Calibri"/>
        <w:w w:val="100"/>
        <w:sz w:val="21"/>
        <w:szCs w:val="21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516" w:hanging="214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513" w:hanging="214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509" w:hanging="214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506" w:hanging="214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503" w:hanging="214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499" w:hanging="214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496" w:hanging="214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8493" w:hanging="214"/>
      </w:pPr>
      <w:rPr>
        <w:rFonts w:hint="default"/>
        <w:lang w:val="pl-PL" w:eastAsia="pl-PL" w:bidi="pl-PL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lowerLetter"/>
      <w:lvlText w:val="%1)"/>
      <w:lvlJc w:val="left"/>
      <w:pPr>
        <w:ind w:left="312" w:hanging="233"/>
        <w:jc w:val="left"/>
      </w:pPr>
      <w:rPr>
        <w:rFonts w:hint="default" w:ascii="Arial" w:hAnsi="Arial" w:eastAsia="Arial" w:cs="Arial"/>
        <w:color w:val="2F3E50"/>
        <w:spacing w:val="-1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336" w:hanging="233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353" w:hanging="233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369" w:hanging="233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386" w:hanging="233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403" w:hanging="233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419" w:hanging="233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436" w:hanging="233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8453" w:hanging="233"/>
      </w:pPr>
      <w:rPr>
        <w:rFonts w:hint="default"/>
        <w:lang w:val="pl-PL" w:eastAsia="pl-PL" w:bidi="pl-PL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32" w:hanging="221"/>
        <w:jc w:val="left"/>
      </w:pPr>
      <w:rPr>
        <w:rFonts w:hint="default" w:ascii="Arial" w:hAnsi="Arial" w:eastAsia="Arial" w:cs="Arial"/>
        <w:b/>
        <w:bCs/>
        <w:color w:val="8DC53E"/>
        <w:spacing w:val="-1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534" w:hanging="22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529" w:hanging="22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523" w:hanging="22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518" w:hanging="22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513" w:hanging="22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507" w:hanging="22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502" w:hanging="22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8497" w:hanging="221"/>
      </w:pPr>
      <w:rPr>
        <w:rFonts w:hint="default"/>
        <w:lang w:val="pl-PL" w:eastAsia="pl-PL" w:bidi="pl-PL"/>
      </w:rPr>
    </w:lvl>
  </w:abstractNum>
  <w:abstractNum w:abstractNumId="3">
    <w:nsid w:val="59ADCABA"/>
    <w:multiLevelType w:val="multilevel"/>
    <w:tmpl w:val="59ADCABA"/>
    <w:lvl w:ilvl="0" w:tentative="0">
      <w:start w:val="0"/>
      <w:numFmt w:val="bullet"/>
      <w:lvlText w:val="·"/>
      <w:lvlJc w:val="left"/>
      <w:pPr>
        <w:ind w:left="434" w:hanging="123"/>
      </w:pPr>
      <w:rPr>
        <w:rFonts w:hint="default" w:ascii="Arial" w:hAnsi="Arial" w:eastAsia="Arial" w:cs="Arial"/>
        <w:color w:val="2F3E50"/>
        <w:w w:val="99"/>
        <w:sz w:val="20"/>
        <w:szCs w:val="2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444" w:hanging="123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2449" w:hanging="123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3453" w:hanging="123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4458" w:hanging="123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5463" w:hanging="123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6467" w:hanging="123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7472" w:hanging="123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8477" w:hanging="123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58454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paragraph" w:styleId="2">
    <w:name w:val="heading 1"/>
    <w:basedOn w:val="1"/>
    <w:qFormat/>
    <w:uiPriority w:val="1"/>
    <w:pPr>
      <w:ind w:left="312"/>
      <w:outlineLvl w:val="1"/>
    </w:pPr>
    <w:rPr>
      <w:rFonts w:ascii="Calibri" w:hAnsi="Calibri" w:eastAsia="Calibri" w:cs="Calibri"/>
      <w:sz w:val="21"/>
      <w:szCs w:val="21"/>
      <w:lang w:val="pl-PL" w:eastAsia="pl-PL" w:bidi="pl-PL"/>
    </w:rPr>
  </w:style>
  <w:style w:type="paragraph" w:styleId="3">
    <w:name w:val="heading 2"/>
    <w:basedOn w:val="1"/>
    <w:qFormat/>
    <w:uiPriority w:val="1"/>
    <w:pPr>
      <w:ind w:left="312" w:hanging="221"/>
      <w:outlineLvl w:val="2"/>
    </w:pPr>
    <w:rPr>
      <w:rFonts w:ascii="Arial" w:hAnsi="Arial" w:eastAsia="Arial" w:cs="Arial"/>
      <w:b/>
      <w:bCs/>
      <w:sz w:val="20"/>
      <w:szCs w:val="20"/>
      <w:lang w:val="pl-PL" w:eastAsia="pl-PL" w:bidi="pl-P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20"/>
      <w:szCs w:val="20"/>
      <w:lang w:val="pl-PL" w:eastAsia="pl-PL" w:bidi="pl-PL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434" w:hanging="123"/>
    </w:pPr>
    <w:rPr>
      <w:rFonts w:ascii="Arial" w:hAnsi="Arial" w:eastAsia="Arial" w:cs="Arial"/>
      <w:lang w:val="pl-PL" w:eastAsia="pl-PL" w:bidi="pl-PL"/>
    </w:rPr>
  </w:style>
  <w:style w:type="paragraph" w:customStyle="1" w:styleId="9">
    <w:name w:val="Table Paragraph"/>
    <w:basedOn w:val="1"/>
    <w:qFormat/>
    <w:uiPriority w:val="1"/>
    <w:pPr>
      <w:spacing w:before="115"/>
      <w:ind w:left="200"/>
    </w:pPr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2023-10-26T11:19:00Z</dcterms:created>
  <dc:creator>Administrator</dc:creator>
  <cp:lastModifiedBy>Marek</cp:lastModifiedBy>
  <dcterms:modified xsi:type="dcterms:W3CDTF">2023-10-26T11:21:57Z</dcterms:modified>
  <dc:title>Technical Declaration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2023-10-26T00:00:00Z</vt:filetime>
  </property>
  <property fmtid="{D5CDD505-2E9C-101B-9397-08002B2CF9AE}" pid="5" name="KSOProductBuildVer">
    <vt:lpwstr>1045-12.2.0.13266</vt:lpwstr>
  </property>
  <property fmtid="{D5CDD505-2E9C-101B-9397-08002B2CF9AE}" pid="6" name="ICV">
    <vt:lpwstr>FE98C6BB83AF40BAA318CAC86B7E9FD8_12</vt:lpwstr>
  </property>
</Properties>
</file>